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F31E3" w:rsidRPr="00DF31E3" w:rsidRDefault="00DF31E3" w:rsidP="00DF31E3">
      <w:pPr>
        <w:jc w:val="both"/>
        <w:rPr>
          <w:rFonts w:ascii="Arial" w:hAnsi="Arial" w:cs="Arial"/>
          <w:b/>
        </w:rPr>
      </w:pPr>
      <w:bookmarkStart w:id="0" w:name="_GoBack"/>
      <w:bookmarkEnd w:id="0"/>
      <w:r w:rsidRPr="00DF31E3">
        <w:rPr>
          <w:rFonts w:ascii="Arial" w:hAnsi="Arial" w:cs="Arial"/>
          <w:b/>
        </w:rPr>
        <w:t xml:space="preserve">Obligaciones en moneda extranjera - Código Civil y Comercial de la Nación. </w:t>
      </w:r>
    </w:p>
    <w:p w:rsidR="00DF31E3" w:rsidRPr="00DF31E3" w:rsidRDefault="00DF31E3" w:rsidP="00DF31E3">
      <w:pPr>
        <w:jc w:val="both"/>
        <w:rPr>
          <w:rFonts w:ascii="Arial" w:hAnsi="Arial" w:cs="Arial"/>
        </w:rPr>
      </w:pPr>
      <w:r w:rsidRPr="00DF31E3">
        <w:rPr>
          <w:rFonts w:ascii="Arial" w:hAnsi="Arial" w:cs="Arial"/>
        </w:rPr>
        <w:t>Tribunal: Cámara Nacional de Apelaciones en lo Comercial, sala F  17/03/2015 Vidaplan S.A. c. Beraja, Alberto David s/ ejecutivo</w:t>
      </w:r>
    </w:p>
    <w:p w:rsidR="00DF31E3" w:rsidRPr="00DF31E3" w:rsidRDefault="00DF31E3" w:rsidP="00DF31E3">
      <w:pPr>
        <w:jc w:val="both"/>
        <w:rPr>
          <w:rFonts w:ascii="Arial" w:hAnsi="Arial" w:cs="Arial"/>
        </w:rPr>
      </w:pPr>
      <w:r w:rsidRPr="00DF31E3">
        <w:rPr>
          <w:rFonts w:ascii="Arial" w:hAnsi="Arial" w:cs="Arial"/>
        </w:rPr>
        <w:t>Tras la sanción de la Ley 23.928 y la modificación que aparejó para el art. 617 del Código Civil, la prescripción del art. 520 del Código Procesal perdió vigencia, ya que las obligaciones en moneda extranjera son consideradas obligaciones de dar sumas de dinero, criterio que fue mantenido por la ley 25.561 y por el Código Civil y Comercial de la Nación —art. 765 y ss—.</w:t>
      </w:r>
    </w:p>
    <w:p w:rsidR="00DF31E3" w:rsidRPr="00DF31E3" w:rsidRDefault="00DF31E3" w:rsidP="00DF31E3">
      <w:pPr>
        <w:jc w:val="both"/>
        <w:rPr>
          <w:rFonts w:ascii="Arial" w:hAnsi="Arial" w:cs="Arial"/>
        </w:rPr>
      </w:pPr>
      <w:r w:rsidRPr="00DF31E3">
        <w:rPr>
          <w:rFonts w:ascii="Arial" w:hAnsi="Arial" w:cs="Arial"/>
        </w:rPr>
        <w:t>Expediente: 39317/2014</w:t>
      </w:r>
    </w:p>
    <w:p w:rsidR="00DF31E3" w:rsidRPr="00DF31E3" w:rsidRDefault="00DF31E3" w:rsidP="00DF31E3">
      <w:pPr>
        <w:jc w:val="both"/>
        <w:rPr>
          <w:rFonts w:ascii="Arial" w:hAnsi="Arial" w:cs="Arial"/>
        </w:rPr>
      </w:pPr>
      <w:r w:rsidRPr="00DF31E3">
        <w:rPr>
          <w:rFonts w:ascii="Arial" w:hAnsi="Arial" w:cs="Arial"/>
        </w:rPr>
        <w:t>2ª Instancia.- Buenos Aires, marzo 17 de 2015.</w:t>
      </w:r>
    </w:p>
    <w:p w:rsidR="00DF31E3" w:rsidRPr="00DF31E3" w:rsidRDefault="00DF31E3" w:rsidP="00DF31E3">
      <w:pPr>
        <w:jc w:val="both"/>
        <w:rPr>
          <w:rFonts w:ascii="Arial" w:hAnsi="Arial" w:cs="Arial"/>
        </w:rPr>
      </w:pPr>
      <w:r w:rsidRPr="00DF31E3">
        <w:rPr>
          <w:rFonts w:ascii="Arial" w:hAnsi="Arial" w:cs="Arial"/>
        </w:rPr>
        <w:t>Vistos:</w:t>
      </w:r>
    </w:p>
    <w:p w:rsidR="00DF31E3" w:rsidRPr="00DF31E3" w:rsidRDefault="00DF31E3" w:rsidP="00DF31E3">
      <w:pPr>
        <w:jc w:val="both"/>
        <w:rPr>
          <w:rFonts w:ascii="Arial" w:hAnsi="Arial" w:cs="Arial"/>
        </w:rPr>
      </w:pPr>
      <w:r w:rsidRPr="00DF31E3">
        <w:rPr>
          <w:rFonts w:ascii="Arial" w:hAnsi="Arial" w:cs="Arial"/>
        </w:rPr>
        <w:t>1. Viene recurrido por la parte actora el apartado segundo del proveído inicial de fs. 22/24 -mantenido a fs. 27/28- en cuanto ordenó la intimación de pago por la suma $85.300 en lugar de los U$S 10.000 reclamados al amparo de la previsión del art. 520 del Código Procesal.</w:t>
      </w:r>
    </w:p>
    <w:p w:rsidR="00DF31E3" w:rsidRPr="00DF31E3" w:rsidRDefault="00DF31E3" w:rsidP="00DF31E3">
      <w:pPr>
        <w:jc w:val="both"/>
        <w:rPr>
          <w:rFonts w:ascii="Arial" w:hAnsi="Arial" w:cs="Arial"/>
        </w:rPr>
      </w:pPr>
      <w:r w:rsidRPr="00DF31E3">
        <w:rPr>
          <w:rFonts w:ascii="Arial" w:hAnsi="Arial" w:cs="Arial"/>
        </w:rPr>
        <w:t>Los agravios corren en fs. 25/26.</w:t>
      </w:r>
    </w:p>
    <w:p w:rsidR="00DF31E3" w:rsidRPr="00DF31E3" w:rsidRDefault="00DF31E3" w:rsidP="00DF31E3">
      <w:pPr>
        <w:jc w:val="both"/>
        <w:rPr>
          <w:rFonts w:ascii="Arial" w:hAnsi="Arial" w:cs="Arial"/>
        </w:rPr>
      </w:pPr>
      <w:r w:rsidRPr="00DF31E3">
        <w:rPr>
          <w:rFonts w:ascii="Arial" w:hAnsi="Arial" w:cs="Arial"/>
        </w:rPr>
        <w:t>2. Resulta exacto que el citado artículo del código ritual dispone que: “si la obligación fuere en moneda extranjera, la ejecución deberá promoverse por el equivalente en peso moneda nacional, según la cotización del banco oficial al día de la iniciación o la que las partes hubiesen convenido, sin perjuicio del reajuste que pudiere corresponder al día del pago”.</w:t>
      </w:r>
    </w:p>
    <w:p w:rsidR="00DF31E3" w:rsidRPr="00DF31E3" w:rsidRDefault="00DF31E3" w:rsidP="00DF31E3">
      <w:pPr>
        <w:jc w:val="both"/>
        <w:rPr>
          <w:rFonts w:ascii="Arial" w:hAnsi="Arial" w:cs="Arial"/>
        </w:rPr>
      </w:pPr>
      <w:r w:rsidRPr="00DF31E3">
        <w:rPr>
          <w:rFonts w:ascii="Arial" w:hAnsi="Arial" w:cs="Arial"/>
        </w:rPr>
        <w:t>Sin embargo, puede interpretarse que tras la sanción de la Ley 23.928 y la modificación que aparejó para el art. 617 del Cód. Civil, la prescripción del Código Procesal ha perdido vigencia, ya que las obligaciones en moneda extranjera son consideradas obligaciones de “dar sumas de dinero”, criterio que ha sido mantenido por la Ley 25.561 y que el nuevo Cód. Civil y Comercial de la Nación también recepta (v. art. 765 y ss). Incluso ha llegado a sostenerse que el tercer párrafo del art. 520 esta implícitamente derogado (Conf. Colombo, Carlos J. - Kiper, Claudio M., “Código Procesal Civil y Comercial de la Nación Anotado y Comentado”, T° IV, p.598 y ss, LA LEY, Buenos Aires, 2006).</w:t>
      </w:r>
    </w:p>
    <w:p w:rsidR="00DF31E3" w:rsidRPr="00DF31E3" w:rsidRDefault="00DF31E3" w:rsidP="00DF31E3">
      <w:pPr>
        <w:jc w:val="both"/>
        <w:rPr>
          <w:rFonts w:ascii="Arial" w:hAnsi="Arial" w:cs="Arial"/>
        </w:rPr>
      </w:pPr>
      <w:r w:rsidRPr="00DF31E3">
        <w:rPr>
          <w:rFonts w:ascii="Arial" w:hAnsi="Arial" w:cs="Arial"/>
        </w:rPr>
        <w:t>En función de ello, corresponde, a criterio de este Tribunal, revocar el decisorio en crisis para intimar al presunto deudor al pago de la suma reclamada en autos en la moneda pactada en los documentos que lucen glosados en copia a fs. 5/8.</w:t>
      </w:r>
    </w:p>
    <w:p w:rsidR="00DF31E3" w:rsidRPr="00DF31E3" w:rsidRDefault="00DF31E3" w:rsidP="00DF31E3">
      <w:pPr>
        <w:jc w:val="both"/>
        <w:rPr>
          <w:rFonts w:ascii="Arial" w:hAnsi="Arial" w:cs="Arial"/>
        </w:rPr>
      </w:pPr>
      <w:r w:rsidRPr="00DF31E3">
        <w:rPr>
          <w:rFonts w:ascii="Arial" w:hAnsi="Arial" w:cs="Arial"/>
        </w:rPr>
        <w:t xml:space="preserve">3. Por ello, se resuelve: admitir los agravios y revocar la providencia recurrida, con el alcance señalado, encomendándose a la Sra. Juez de grado el proveimiento de las diligencias ulteriores. Las costas se impondrán a la apelante, atento el estado inicial de las actuaciones y la particular cuestión decidida con el alcance sentado en el precedente de esta Sala del 25/09/2014, “Zenobio, Marcela Alejandra s/pedido de quiebra por Delucchi </w:t>
      </w:r>
      <w:r w:rsidRPr="00DF31E3">
        <w:rPr>
          <w:rFonts w:ascii="Arial" w:hAnsi="Arial" w:cs="Arial"/>
        </w:rPr>
        <w:lastRenderedPageBreak/>
        <w:t>Martín C.”). Notifíquese y hágase saber la presente decisión a la Dirección de Comunicación Pública de la Corte Suprema de Justicia de la Nación (cfr. Ley n° 26.856, art. 4 Ac. n° 15/13 y Ac. n° 24/13). — Alejandra N. Tevez. — Juan M. Ojea Quintana. — Rafael F. Barreiro.</w:t>
      </w:r>
    </w:p>
    <w:p w:rsidR="00DF31E3" w:rsidRPr="00DF31E3" w:rsidRDefault="00DF31E3" w:rsidP="00DF31E3">
      <w:pPr>
        <w:jc w:val="both"/>
        <w:rPr>
          <w:rFonts w:ascii="Arial" w:hAnsi="Arial" w:cs="Arial"/>
        </w:rPr>
      </w:pPr>
      <w:r w:rsidRPr="00DF31E3">
        <w:rPr>
          <w:rFonts w:ascii="Arial" w:hAnsi="Arial" w:cs="Arial"/>
        </w:rPr>
        <w:t xml:space="preserve"> </w:t>
      </w:r>
    </w:p>
    <w:p w:rsidR="00944302" w:rsidRPr="00DF31E3" w:rsidRDefault="00944302" w:rsidP="00DF31E3">
      <w:pPr>
        <w:jc w:val="both"/>
        <w:rPr>
          <w:rFonts w:ascii="Arial" w:hAnsi="Arial" w:cs="Arial"/>
        </w:rPr>
      </w:pPr>
    </w:p>
    <w:sectPr w:rsidR="00944302" w:rsidRPr="00DF31E3">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31E3"/>
    <w:rsid w:val="004C2768"/>
    <w:rsid w:val="00944302"/>
    <w:rsid w:val="00DF31E3"/>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457</Words>
  <Characters>2516</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2968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biblioteca</dc:creator>
  <cp:lastModifiedBy>Hewlett-Packard Company</cp:lastModifiedBy>
  <cp:revision>2</cp:revision>
  <dcterms:created xsi:type="dcterms:W3CDTF">2015-08-12T14:21:00Z</dcterms:created>
  <dcterms:modified xsi:type="dcterms:W3CDTF">2015-08-12T14:21:00Z</dcterms:modified>
</cp:coreProperties>
</file>